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593" w:rsidRPr="00A17593" w:rsidRDefault="00A17593" w:rsidP="00A17593">
      <w:pPr>
        <w:shd w:val="clear" w:color="auto" w:fill="FFFFFF"/>
        <w:spacing w:before="100" w:beforeAutospacing="1" w:after="100" w:afterAutospacing="1" w:line="384" w:lineRule="atLeast"/>
        <w:jc w:val="center"/>
        <w:rPr>
          <w:rFonts w:ascii="Arial" w:eastAsia="Times New Roman" w:hAnsi="Arial" w:cs="Arial"/>
          <w:b/>
          <w:color w:val="65676F"/>
          <w:sz w:val="36"/>
          <w:szCs w:val="21"/>
          <w:lang w:eastAsia="en-AU"/>
        </w:rPr>
      </w:pPr>
      <w:r w:rsidRPr="00A17593">
        <w:rPr>
          <w:rFonts w:ascii="Arial" w:eastAsia="Times New Roman" w:hAnsi="Arial" w:cs="Arial"/>
          <w:b/>
          <w:color w:val="65676F"/>
          <w:sz w:val="36"/>
          <w:szCs w:val="21"/>
          <w:lang w:eastAsia="en-AU"/>
        </w:rPr>
        <w:t>Lightning Ridge Central School</w:t>
      </w:r>
    </w:p>
    <w:p w:rsidR="00A17593" w:rsidRDefault="00A17593" w:rsidP="00A17593">
      <w:pPr>
        <w:shd w:val="clear" w:color="auto" w:fill="FFFFFF"/>
        <w:spacing w:before="100" w:beforeAutospacing="1" w:after="100" w:afterAutospacing="1" w:line="384" w:lineRule="atLeast"/>
        <w:jc w:val="center"/>
        <w:rPr>
          <w:rFonts w:ascii="Arial" w:eastAsia="Times New Roman" w:hAnsi="Arial" w:cs="Arial"/>
          <w:b/>
          <w:color w:val="65676F"/>
          <w:sz w:val="36"/>
          <w:szCs w:val="21"/>
          <w:lang w:eastAsia="en-AU"/>
        </w:rPr>
      </w:pPr>
      <w:r w:rsidRPr="00A17593">
        <w:rPr>
          <w:rFonts w:ascii="Arial" w:eastAsia="Times New Roman" w:hAnsi="Arial" w:cs="Arial"/>
          <w:b/>
          <w:color w:val="65676F"/>
          <w:sz w:val="36"/>
          <w:szCs w:val="21"/>
          <w:lang w:eastAsia="en-AU"/>
        </w:rPr>
        <w:t>Enrolment Policy</w:t>
      </w:r>
    </w:p>
    <w:p w:rsidR="00A17593" w:rsidRPr="00A17593" w:rsidRDefault="00A17593" w:rsidP="00A17593">
      <w:pPr>
        <w:shd w:val="clear" w:color="auto" w:fill="FFFFFF"/>
        <w:spacing w:before="100" w:beforeAutospacing="1" w:after="100" w:afterAutospacing="1" w:line="384" w:lineRule="atLeast"/>
        <w:jc w:val="center"/>
        <w:rPr>
          <w:rFonts w:ascii="Arial" w:eastAsia="Times New Roman" w:hAnsi="Arial" w:cs="Arial"/>
          <w:b/>
          <w:color w:val="65676F"/>
          <w:sz w:val="36"/>
          <w:szCs w:val="21"/>
          <w:lang w:eastAsia="en-AU"/>
        </w:rPr>
      </w:pPr>
    </w:p>
    <w:p w:rsidR="00A17593" w:rsidRPr="00A17593" w:rsidRDefault="00A17593" w:rsidP="00A17593">
      <w:pPr>
        <w:numPr>
          <w:ilvl w:val="0"/>
          <w:numId w:val="1"/>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DET </w:t>
      </w:r>
      <w:hyperlink r:id="rId5" w:tgtFrame="_blank" w:history="1">
        <w:r w:rsidRPr="00A17593">
          <w:rPr>
            <w:rFonts w:ascii="Arial" w:eastAsia="Times New Roman" w:hAnsi="Arial" w:cs="Arial"/>
            <w:b/>
            <w:bCs/>
            <w:color w:val="125BA8"/>
            <w:sz w:val="21"/>
            <w:szCs w:val="21"/>
            <w:u w:val="single"/>
            <w:lang w:eastAsia="en-AU"/>
          </w:rPr>
          <w:t>Expression of Interest for Placement in Year 7 at a NSW Government Secondary School 2019</w:t>
        </w:r>
      </w:hyperlink>
      <w:r w:rsidRPr="00A17593">
        <w:rPr>
          <w:rFonts w:ascii="Arial" w:eastAsia="Times New Roman" w:hAnsi="Arial" w:cs="Arial"/>
          <w:color w:val="65676F"/>
          <w:sz w:val="21"/>
          <w:szCs w:val="21"/>
          <w:lang w:eastAsia="en-AU"/>
        </w:rPr>
        <w:t> form.</w:t>
      </w:r>
    </w:p>
    <w:p w:rsidR="00A17593" w:rsidRPr="00A17593" w:rsidRDefault="00A458ED" w:rsidP="00A17593">
      <w:pPr>
        <w:numPr>
          <w:ilvl w:val="0"/>
          <w:numId w:val="1"/>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hyperlink r:id="rId6" w:tgtFrame="_blank" w:history="1">
        <w:r w:rsidR="00A17593" w:rsidRPr="00A17593">
          <w:rPr>
            <w:rFonts w:ascii="Arial" w:eastAsia="Times New Roman" w:hAnsi="Arial" w:cs="Arial"/>
            <w:b/>
            <w:bCs/>
            <w:color w:val="125BA8"/>
            <w:sz w:val="21"/>
            <w:szCs w:val="21"/>
            <w:u w:val="single"/>
            <w:lang w:eastAsia="en-AU"/>
          </w:rPr>
          <w:t>Out of Area Application</w:t>
        </w:r>
      </w:hyperlink>
      <w:r w:rsidR="00A17593" w:rsidRPr="00A17593">
        <w:rPr>
          <w:rFonts w:ascii="Arial" w:eastAsia="Times New Roman" w:hAnsi="Arial" w:cs="Arial"/>
          <w:color w:val="65676F"/>
          <w:sz w:val="21"/>
          <w:szCs w:val="21"/>
          <w:lang w:eastAsia="en-AU"/>
        </w:rPr>
        <w:t> form (to be filled in digitally).</w:t>
      </w:r>
    </w:p>
    <w:p w:rsidR="00A17593" w:rsidRPr="00A17593" w:rsidRDefault="00A17593" w:rsidP="00A17593">
      <w:pPr>
        <w:shd w:val="clear" w:color="auto" w:fill="FFFFFF"/>
        <w:spacing w:before="100" w:beforeAutospacing="1" w:after="100" w:afterAutospacing="1" w:line="480" w:lineRule="atLeast"/>
        <w:outlineLvl w:val="1"/>
        <w:rPr>
          <w:rFonts w:ascii="Arial" w:eastAsia="Times New Roman" w:hAnsi="Arial" w:cs="Arial"/>
          <w:b/>
          <w:bCs/>
          <w:caps/>
          <w:color w:val="65676D"/>
          <w:sz w:val="36"/>
          <w:szCs w:val="36"/>
          <w:lang w:eastAsia="en-AU"/>
        </w:rPr>
      </w:pPr>
      <w:r w:rsidRPr="00A17593">
        <w:rPr>
          <w:rFonts w:ascii="Arial" w:eastAsia="Times New Roman" w:hAnsi="Arial" w:cs="Arial"/>
          <w:b/>
          <w:bCs/>
          <w:caps/>
          <w:color w:val="65676D"/>
          <w:sz w:val="36"/>
          <w:szCs w:val="36"/>
          <w:lang w:eastAsia="en-AU"/>
        </w:rPr>
        <w:t>RATIONALE</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 xml:space="preserve">This school’s local area is determined by the Department of School Education and Communities (DEC). In accordance with the Education Reform Act 1990 this school will seek to ensure that every eligible local child will have a place at </w:t>
      </w:r>
      <w:r>
        <w:rPr>
          <w:rFonts w:ascii="Arial" w:eastAsia="Times New Roman" w:hAnsi="Arial" w:cs="Arial"/>
          <w:color w:val="65676F"/>
          <w:sz w:val="21"/>
          <w:szCs w:val="21"/>
          <w:lang w:eastAsia="en-AU"/>
        </w:rPr>
        <w:t>Lightning Ridge Central School</w:t>
      </w:r>
      <w:r w:rsidRPr="00A17593">
        <w:rPr>
          <w:rFonts w:ascii="Arial" w:eastAsia="Times New Roman" w:hAnsi="Arial" w:cs="Arial"/>
          <w:color w:val="65676F"/>
          <w:sz w:val="21"/>
          <w:szCs w:val="21"/>
          <w:lang w:eastAsia="en-AU"/>
        </w:rPr>
        <w:t xml:space="preserve"> if he or she chooses to enrol here. In an endeavour to create an optimum learning environment, </w:t>
      </w:r>
      <w:r>
        <w:rPr>
          <w:rFonts w:ascii="Arial" w:eastAsia="Times New Roman" w:hAnsi="Arial" w:cs="Arial"/>
          <w:color w:val="65676F"/>
          <w:sz w:val="21"/>
          <w:szCs w:val="21"/>
          <w:lang w:eastAsia="en-AU"/>
        </w:rPr>
        <w:t>Lightning Ridge Central School</w:t>
      </w:r>
      <w:r w:rsidRPr="00A17593">
        <w:rPr>
          <w:rFonts w:ascii="Arial" w:eastAsia="Times New Roman" w:hAnsi="Arial" w:cs="Arial"/>
          <w:color w:val="65676F"/>
          <w:sz w:val="21"/>
          <w:szCs w:val="21"/>
          <w:lang w:eastAsia="en-AU"/>
        </w:rPr>
        <w:t xml:space="preserve"> has determined the following enrolment policy to ensure a learning environment which maximises learning opportunities for all students.</w:t>
      </w:r>
    </w:p>
    <w:p w:rsidR="00A17593" w:rsidRPr="00A17593" w:rsidRDefault="00A17593" w:rsidP="00A17593">
      <w:pPr>
        <w:shd w:val="clear" w:color="auto" w:fill="FFFFFF"/>
        <w:spacing w:before="100" w:beforeAutospacing="1" w:after="100" w:afterAutospacing="1" w:line="480" w:lineRule="atLeast"/>
        <w:outlineLvl w:val="1"/>
        <w:rPr>
          <w:rFonts w:ascii="Arial" w:eastAsia="Times New Roman" w:hAnsi="Arial" w:cs="Arial"/>
          <w:b/>
          <w:bCs/>
          <w:caps/>
          <w:color w:val="65676D"/>
          <w:sz w:val="36"/>
          <w:szCs w:val="36"/>
          <w:lang w:eastAsia="en-AU"/>
        </w:rPr>
      </w:pPr>
      <w:r w:rsidRPr="00A17593">
        <w:rPr>
          <w:rFonts w:ascii="Arial" w:eastAsia="Times New Roman" w:hAnsi="Arial" w:cs="Arial"/>
          <w:b/>
          <w:bCs/>
          <w:caps/>
          <w:color w:val="65676D"/>
          <w:sz w:val="36"/>
          <w:szCs w:val="36"/>
          <w:lang w:eastAsia="en-AU"/>
        </w:rPr>
        <w:t>VERIFICATION OF LOCAL RESIDENCY</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 xml:space="preserve">For a student to be enrolled as a local placement, parents </w:t>
      </w:r>
      <w:r>
        <w:rPr>
          <w:rFonts w:ascii="Arial" w:eastAsia="Times New Roman" w:hAnsi="Arial" w:cs="Arial"/>
          <w:color w:val="65676F"/>
          <w:sz w:val="21"/>
          <w:szCs w:val="21"/>
          <w:lang w:eastAsia="en-AU"/>
        </w:rPr>
        <w:t>may</w:t>
      </w:r>
      <w:r w:rsidRPr="00A17593">
        <w:rPr>
          <w:rFonts w:ascii="Arial" w:eastAsia="Times New Roman" w:hAnsi="Arial" w:cs="Arial"/>
          <w:color w:val="65676F"/>
          <w:sz w:val="21"/>
          <w:szCs w:val="21"/>
          <w:lang w:eastAsia="en-AU"/>
        </w:rPr>
        <w:t xml:space="preserve"> be asked to provide 100 points as per the General Guidelines which includes proof of residency that they live in the local area and that the child being enrolled also lives in the local area.</w:t>
      </w:r>
    </w:p>
    <w:p w:rsidR="00A17593" w:rsidRPr="00A17593" w:rsidRDefault="00A17593" w:rsidP="00A17593">
      <w:pPr>
        <w:shd w:val="clear" w:color="auto" w:fill="FFFFFF"/>
        <w:spacing w:before="100" w:beforeAutospacing="1" w:after="100" w:afterAutospacing="1" w:line="480" w:lineRule="atLeast"/>
        <w:outlineLvl w:val="1"/>
        <w:rPr>
          <w:rFonts w:ascii="Arial" w:eastAsia="Times New Roman" w:hAnsi="Arial" w:cs="Arial"/>
          <w:b/>
          <w:bCs/>
          <w:caps/>
          <w:color w:val="65676D"/>
          <w:sz w:val="36"/>
          <w:szCs w:val="36"/>
          <w:lang w:eastAsia="en-AU"/>
        </w:rPr>
      </w:pPr>
      <w:r w:rsidRPr="00A17593">
        <w:rPr>
          <w:rFonts w:ascii="Arial" w:eastAsia="Times New Roman" w:hAnsi="Arial" w:cs="Arial"/>
          <w:b/>
          <w:bCs/>
          <w:caps/>
          <w:color w:val="65676D"/>
          <w:sz w:val="36"/>
          <w:szCs w:val="36"/>
          <w:lang w:eastAsia="en-AU"/>
        </w:rPr>
        <w:t>GENERAL GUIDELINES</w:t>
      </w:r>
    </w:p>
    <w:p w:rsidR="00A17593" w:rsidRPr="00A17593" w:rsidRDefault="00A17593" w:rsidP="00A17593">
      <w:pPr>
        <w:numPr>
          <w:ilvl w:val="0"/>
          <w:numId w:val="2"/>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All documents MUST be in the name of the enrolling parent/carer</w:t>
      </w:r>
    </w:p>
    <w:p w:rsidR="00A17593" w:rsidRPr="00A17593" w:rsidRDefault="00A17593" w:rsidP="00A17593">
      <w:pPr>
        <w:numPr>
          <w:ilvl w:val="0"/>
          <w:numId w:val="2"/>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At least </w:t>
      </w:r>
      <w:r w:rsidRPr="00A17593">
        <w:rPr>
          <w:rFonts w:ascii="Arial" w:eastAsia="Times New Roman" w:hAnsi="Arial" w:cs="Arial"/>
          <w:b/>
          <w:bCs/>
          <w:color w:val="65676F"/>
          <w:sz w:val="21"/>
          <w:szCs w:val="21"/>
          <w:lang w:eastAsia="en-AU"/>
        </w:rPr>
        <w:t>ONE Category A</w:t>
      </w:r>
      <w:r w:rsidRPr="00A17593">
        <w:rPr>
          <w:rFonts w:ascii="Arial" w:eastAsia="Times New Roman" w:hAnsi="Arial" w:cs="Arial"/>
          <w:color w:val="65676F"/>
          <w:sz w:val="21"/>
          <w:szCs w:val="21"/>
          <w:lang w:eastAsia="en-AU"/>
        </w:rPr>
        <w:t> document is required</w:t>
      </w:r>
    </w:p>
    <w:p w:rsidR="00A17593" w:rsidRPr="00A17593" w:rsidRDefault="00A17593" w:rsidP="00A17593">
      <w:pPr>
        <w:numPr>
          <w:ilvl w:val="0"/>
          <w:numId w:val="2"/>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A copy of the original documents is accepted</w:t>
      </w:r>
    </w:p>
    <w:p w:rsidR="00A17593" w:rsidRPr="00A17593" w:rsidRDefault="00A17593" w:rsidP="00A17593">
      <w:pPr>
        <w:numPr>
          <w:ilvl w:val="0"/>
          <w:numId w:val="2"/>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All documents must be current (dated within the last 3 months)</w:t>
      </w:r>
    </w:p>
    <w:p w:rsidR="00A17593" w:rsidRPr="00A17593" w:rsidRDefault="00A17593" w:rsidP="00A17593">
      <w:pPr>
        <w:numPr>
          <w:ilvl w:val="0"/>
          <w:numId w:val="2"/>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Personal references are not considered</w:t>
      </w:r>
    </w:p>
    <w:tbl>
      <w:tblPr>
        <w:tblW w:w="9115" w:type="dxa"/>
        <w:shd w:val="clear" w:color="auto" w:fill="FFFFFF"/>
        <w:tblCellMar>
          <w:top w:w="15" w:type="dxa"/>
          <w:left w:w="15" w:type="dxa"/>
          <w:bottom w:w="15" w:type="dxa"/>
          <w:right w:w="15" w:type="dxa"/>
        </w:tblCellMar>
        <w:tblLook w:val="04A0" w:firstRow="1" w:lastRow="0" w:firstColumn="1" w:lastColumn="0" w:noHBand="0" w:noVBand="1"/>
      </w:tblPr>
      <w:tblGrid>
        <w:gridCol w:w="1788"/>
        <w:gridCol w:w="7327"/>
      </w:tblGrid>
      <w:tr w:rsidR="00A17593" w:rsidRPr="00A17593" w:rsidTr="00A17593">
        <w:trPr>
          <w:trHeight w:val="1564"/>
        </w:trPr>
        <w:tc>
          <w:tcPr>
            <w:tcW w:w="0" w:type="auto"/>
            <w:gridSpan w:val="2"/>
            <w:shd w:val="clear" w:color="auto" w:fill="FFFFFF"/>
            <w:tcMar>
              <w:top w:w="225" w:type="dxa"/>
              <w:left w:w="120" w:type="dxa"/>
              <w:bottom w:w="225" w:type="dxa"/>
              <w:right w:w="120" w:type="dxa"/>
            </w:tcMar>
            <w:vAlign w:val="center"/>
            <w:hideMark/>
          </w:tcPr>
          <w:p w:rsidR="00A17593" w:rsidRPr="00A17593" w:rsidRDefault="00A17593" w:rsidP="00A17593">
            <w:pPr>
              <w:spacing w:after="120" w:line="384" w:lineRule="atLeast"/>
              <w:jc w:val="center"/>
              <w:rPr>
                <w:rFonts w:ascii="Arial" w:eastAsia="Times New Roman" w:hAnsi="Arial" w:cs="Arial"/>
                <w:b/>
                <w:bCs/>
                <w:caps/>
                <w:color w:val="65676F"/>
                <w:sz w:val="24"/>
                <w:szCs w:val="24"/>
                <w:lang w:eastAsia="en-AU"/>
              </w:rPr>
            </w:pPr>
            <w:r w:rsidRPr="00A17593">
              <w:rPr>
                <w:rFonts w:ascii="Arial" w:eastAsia="Times New Roman" w:hAnsi="Arial" w:cs="Arial"/>
                <w:b/>
                <w:bCs/>
                <w:caps/>
                <w:color w:val="65676F"/>
                <w:sz w:val="24"/>
                <w:szCs w:val="24"/>
                <w:lang w:eastAsia="en-AU"/>
              </w:rPr>
              <w:lastRenderedPageBreak/>
              <w:t> </w:t>
            </w:r>
          </w:p>
          <w:p w:rsidR="00A17593" w:rsidRDefault="00A17593" w:rsidP="00A17593">
            <w:pPr>
              <w:spacing w:after="120" w:line="384" w:lineRule="atLeast"/>
              <w:jc w:val="center"/>
              <w:rPr>
                <w:rFonts w:ascii="Arial" w:eastAsia="Times New Roman" w:hAnsi="Arial" w:cs="Arial"/>
                <w:b/>
                <w:bCs/>
                <w:caps/>
                <w:color w:val="65676F"/>
                <w:sz w:val="24"/>
                <w:szCs w:val="24"/>
                <w:lang w:eastAsia="en-AU"/>
              </w:rPr>
            </w:pPr>
            <w:r w:rsidRPr="00A17593">
              <w:rPr>
                <w:rFonts w:ascii="Arial" w:eastAsia="Times New Roman" w:hAnsi="Arial" w:cs="Arial"/>
                <w:b/>
                <w:bCs/>
                <w:caps/>
                <w:color w:val="65676F"/>
                <w:sz w:val="24"/>
                <w:szCs w:val="24"/>
                <w:lang w:eastAsia="en-AU"/>
              </w:rPr>
              <w:t>DOCUMENTATION</w:t>
            </w:r>
            <w:r>
              <w:rPr>
                <w:rFonts w:ascii="Arial" w:eastAsia="Times New Roman" w:hAnsi="Arial" w:cs="Arial"/>
                <w:b/>
                <w:bCs/>
                <w:caps/>
                <w:color w:val="65676F"/>
                <w:sz w:val="24"/>
                <w:szCs w:val="24"/>
                <w:lang w:eastAsia="en-AU"/>
              </w:rPr>
              <w:t>.</w:t>
            </w:r>
          </w:p>
          <w:p w:rsidR="00A17593" w:rsidRPr="00A17593" w:rsidRDefault="00A17593" w:rsidP="00A17593">
            <w:pPr>
              <w:spacing w:after="120" w:line="384" w:lineRule="atLeast"/>
              <w:jc w:val="center"/>
              <w:rPr>
                <w:rFonts w:ascii="Arial" w:eastAsia="Times New Roman" w:hAnsi="Arial" w:cs="Arial"/>
                <w:b/>
                <w:bCs/>
                <w:caps/>
                <w:color w:val="65676F"/>
                <w:sz w:val="24"/>
                <w:szCs w:val="24"/>
                <w:lang w:eastAsia="en-AU"/>
              </w:rPr>
            </w:pPr>
          </w:p>
        </w:tc>
      </w:tr>
      <w:tr w:rsidR="00A17593" w:rsidRPr="00A17593" w:rsidTr="00A17593">
        <w:trPr>
          <w:trHeight w:val="3856"/>
        </w:trPr>
        <w:tc>
          <w:tcPr>
            <w:tcW w:w="0" w:type="auto"/>
            <w:shd w:val="clear" w:color="auto" w:fill="ABC6E7"/>
            <w:tcMar>
              <w:top w:w="105" w:type="dxa"/>
              <w:left w:w="120" w:type="dxa"/>
              <w:bottom w:w="105" w:type="dxa"/>
              <w:right w:w="120" w:type="dxa"/>
            </w:tcMar>
            <w:vAlign w:val="center"/>
            <w:hideMark/>
          </w:tcPr>
          <w:p w:rsidR="00A17593" w:rsidRPr="00A17593" w:rsidRDefault="00A17593" w:rsidP="00A17593">
            <w:pPr>
              <w:spacing w:after="120" w:line="384" w:lineRule="atLeast"/>
              <w:jc w:val="center"/>
              <w:rPr>
                <w:rFonts w:ascii="Arial" w:eastAsia="Times New Roman" w:hAnsi="Arial" w:cs="Arial"/>
                <w:b/>
                <w:bCs/>
                <w:color w:val="003850"/>
                <w:sz w:val="21"/>
                <w:szCs w:val="21"/>
                <w:lang w:eastAsia="en-AU"/>
              </w:rPr>
            </w:pPr>
            <w:r w:rsidRPr="00A17593">
              <w:rPr>
                <w:rFonts w:ascii="Arial" w:eastAsia="Times New Roman" w:hAnsi="Arial" w:cs="Arial"/>
                <w:b/>
                <w:bCs/>
                <w:color w:val="003850"/>
                <w:sz w:val="21"/>
                <w:szCs w:val="21"/>
                <w:lang w:eastAsia="en-AU"/>
              </w:rPr>
              <w:t>CATEGORY A</w:t>
            </w:r>
          </w:p>
          <w:p w:rsidR="00A17593" w:rsidRPr="00A17593" w:rsidRDefault="00A17593" w:rsidP="00A17593">
            <w:pPr>
              <w:spacing w:after="120" w:line="384" w:lineRule="atLeast"/>
              <w:jc w:val="center"/>
              <w:rPr>
                <w:rFonts w:ascii="Arial" w:eastAsia="Times New Roman" w:hAnsi="Arial" w:cs="Arial"/>
                <w:b/>
                <w:bCs/>
                <w:color w:val="003850"/>
                <w:sz w:val="21"/>
                <w:szCs w:val="21"/>
                <w:lang w:eastAsia="en-AU"/>
              </w:rPr>
            </w:pPr>
            <w:r w:rsidRPr="00A17593">
              <w:rPr>
                <w:rFonts w:ascii="Arial" w:eastAsia="Times New Roman" w:hAnsi="Arial" w:cs="Arial"/>
                <w:b/>
                <w:bCs/>
                <w:color w:val="003850"/>
                <w:sz w:val="21"/>
                <w:szCs w:val="21"/>
                <w:lang w:eastAsia="en-AU"/>
              </w:rPr>
              <w:t>50 points</w:t>
            </w:r>
          </w:p>
        </w:tc>
        <w:tc>
          <w:tcPr>
            <w:tcW w:w="7327" w:type="dxa"/>
            <w:shd w:val="clear" w:color="auto" w:fill="ABC6E7"/>
            <w:tcMar>
              <w:top w:w="105" w:type="dxa"/>
              <w:left w:w="120" w:type="dxa"/>
              <w:bottom w:w="105" w:type="dxa"/>
              <w:right w:w="120" w:type="dxa"/>
            </w:tcMar>
            <w:hideMark/>
          </w:tcPr>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Electricity bill</w:t>
            </w:r>
          </w:p>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Gas bill</w:t>
            </w:r>
          </w:p>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Water rates</w:t>
            </w:r>
          </w:p>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Telephone (not mobile)</w:t>
            </w:r>
          </w:p>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Land rates</w:t>
            </w:r>
          </w:p>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Proof of purchase of residential property</w:t>
            </w:r>
          </w:p>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Current lease – (must be 12 month lease)</w:t>
            </w:r>
          </w:p>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Centrelink</w:t>
            </w:r>
          </w:p>
          <w:p w:rsidR="00A17593" w:rsidRPr="00A17593" w:rsidRDefault="00A17593" w:rsidP="00A17593">
            <w:pPr>
              <w:numPr>
                <w:ilvl w:val="0"/>
                <w:numId w:val="3"/>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Electoral Roll</w:t>
            </w:r>
          </w:p>
        </w:tc>
      </w:tr>
      <w:tr w:rsidR="00A17593" w:rsidRPr="00A17593" w:rsidTr="00A17593">
        <w:trPr>
          <w:trHeight w:val="3453"/>
        </w:trPr>
        <w:tc>
          <w:tcPr>
            <w:tcW w:w="0" w:type="auto"/>
            <w:shd w:val="clear" w:color="auto" w:fill="FFFFFF"/>
            <w:tcMar>
              <w:top w:w="105" w:type="dxa"/>
              <w:left w:w="120" w:type="dxa"/>
              <w:bottom w:w="105" w:type="dxa"/>
              <w:right w:w="120" w:type="dxa"/>
            </w:tcMar>
            <w:vAlign w:val="center"/>
            <w:hideMark/>
          </w:tcPr>
          <w:p w:rsidR="00A17593" w:rsidRPr="00A17593" w:rsidRDefault="00A17593" w:rsidP="00A17593">
            <w:pPr>
              <w:spacing w:after="120" w:line="384" w:lineRule="atLeast"/>
              <w:jc w:val="center"/>
              <w:rPr>
                <w:rFonts w:ascii="Arial" w:eastAsia="Times New Roman" w:hAnsi="Arial" w:cs="Arial"/>
                <w:b/>
                <w:bCs/>
                <w:color w:val="003850"/>
                <w:sz w:val="21"/>
                <w:szCs w:val="21"/>
                <w:lang w:eastAsia="en-AU"/>
              </w:rPr>
            </w:pPr>
            <w:r w:rsidRPr="00A17593">
              <w:rPr>
                <w:rFonts w:ascii="Arial" w:eastAsia="Times New Roman" w:hAnsi="Arial" w:cs="Arial"/>
                <w:b/>
                <w:bCs/>
                <w:color w:val="003850"/>
                <w:sz w:val="21"/>
                <w:szCs w:val="21"/>
                <w:lang w:eastAsia="en-AU"/>
              </w:rPr>
              <w:t>CATEGORY B</w:t>
            </w:r>
          </w:p>
          <w:p w:rsidR="00A17593" w:rsidRPr="00A17593" w:rsidRDefault="00A17593" w:rsidP="00A17593">
            <w:pPr>
              <w:spacing w:after="120" w:line="384" w:lineRule="atLeast"/>
              <w:jc w:val="center"/>
              <w:rPr>
                <w:rFonts w:ascii="Arial" w:eastAsia="Times New Roman" w:hAnsi="Arial" w:cs="Arial"/>
                <w:b/>
                <w:bCs/>
                <w:color w:val="003850"/>
                <w:sz w:val="21"/>
                <w:szCs w:val="21"/>
                <w:lang w:eastAsia="en-AU"/>
              </w:rPr>
            </w:pPr>
            <w:r w:rsidRPr="00A17593">
              <w:rPr>
                <w:rFonts w:ascii="Arial" w:eastAsia="Times New Roman" w:hAnsi="Arial" w:cs="Arial"/>
                <w:b/>
                <w:bCs/>
                <w:color w:val="003850"/>
                <w:sz w:val="21"/>
                <w:szCs w:val="21"/>
                <w:lang w:eastAsia="en-AU"/>
              </w:rPr>
              <w:t>30 points</w:t>
            </w:r>
          </w:p>
        </w:tc>
        <w:tc>
          <w:tcPr>
            <w:tcW w:w="0" w:type="auto"/>
            <w:shd w:val="clear" w:color="auto" w:fill="FFFFFF"/>
            <w:tcMar>
              <w:top w:w="105" w:type="dxa"/>
              <w:left w:w="120" w:type="dxa"/>
              <w:bottom w:w="105" w:type="dxa"/>
              <w:right w:w="120" w:type="dxa"/>
            </w:tcMar>
            <w:vAlign w:val="center"/>
            <w:hideMark/>
          </w:tcPr>
          <w:p w:rsidR="00A17593" w:rsidRPr="00A17593" w:rsidRDefault="00A17593" w:rsidP="00A17593">
            <w:pPr>
              <w:numPr>
                <w:ilvl w:val="0"/>
                <w:numId w:val="4"/>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Drivers licence</w:t>
            </w:r>
          </w:p>
          <w:p w:rsidR="00A17593" w:rsidRPr="00A17593" w:rsidRDefault="00A17593" w:rsidP="00A17593">
            <w:pPr>
              <w:numPr>
                <w:ilvl w:val="0"/>
                <w:numId w:val="4"/>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Motor Vehicle/Marine Vessel/Trailer documents (Registration/Insurance)</w:t>
            </w:r>
          </w:p>
          <w:p w:rsidR="00A17593" w:rsidRPr="00A17593" w:rsidRDefault="00A17593" w:rsidP="00A17593">
            <w:pPr>
              <w:numPr>
                <w:ilvl w:val="0"/>
                <w:numId w:val="4"/>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Bank account</w:t>
            </w:r>
          </w:p>
          <w:p w:rsidR="00A17593" w:rsidRPr="00A17593" w:rsidRDefault="00A17593" w:rsidP="00A17593">
            <w:pPr>
              <w:numPr>
                <w:ilvl w:val="0"/>
                <w:numId w:val="4"/>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Mobile phone account</w:t>
            </w:r>
          </w:p>
          <w:p w:rsidR="00A17593" w:rsidRPr="00A17593" w:rsidRDefault="00A17593" w:rsidP="00A17593">
            <w:pPr>
              <w:numPr>
                <w:ilvl w:val="0"/>
                <w:numId w:val="4"/>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Union membership</w:t>
            </w:r>
          </w:p>
          <w:p w:rsidR="00A17593" w:rsidRPr="00A17593" w:rsidRDefault="00A17593" w:rsidP="00A17593">
            <w:pPr>
              <w:numPr>
                <w:ilvl w:val="0"/>
                <w:numId w:val="4"/>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Superannuation documents</w:t>
            </w:r>
          </w:p>
          <w:p w:rsidR="00A17593" w:rsidRPr="00A17593" w:rsidRDefault="00A17593" w:rsidP="00A17593">
            <w:pPr>
              <w:numPr>
                <w:ilvl w:val="0"/>
                <w:numId w:val="4"/>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Life Insurance documents</w:t>
            </w:r>
          </w:p>
          <w:p w:rsidR="00A17593" w:rsidRPr="00A17593" w:rsidRDefault="00A17593" w:rsidP="00A17593">
            <w:pPr>
              <w:numPr>
                <w:ilvl w:val="0"/>
                <w:numId w:val="4"/>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Medical accounts</w:t>
            </w:r>
          </w:p>
        </w:tc>
      </w:tr>
      <w:tr w:rsidR="00A17593" w:rsidRPr="00A17593" w:rsidTr="00A17593">
        <w:trPr>
          <w:trHeight w:val="1486"/>
        </w:trPr>
        <w:tc>
          <w:tcPr>
            <w:tcW w:w="0" w:type="auto"/>
            <w:shd w:val="clear" w:color="auto" w:fill="ABC6E7"/>
            <w:tcMar>
              <w:top w:w="105" w:type="dxa"/>
              <w:left w:w="120" w:type="dxa"/>
              <w:bottom w:w="105" w:type="dxa"/>
              <w:right w:w="120" w:type="dxa"/>
            </w:tcMar>
            <w:vAlign w:val="center"/>
            <w:hideMark/>
          </w:tcPr>
          <w:p w:rsidR="00A17593" w:rsidRPr="00A17593" w:rsidRDefault="00A17593" w:rsidP="00A17593">
            <w:pPr>
              <w:spacing w:after="120" w:line="384" w:lineRule="atLeast"/>
              <w:jc w:val="center"/>
              <w:rPr>
                <w:rFonts w:ascii="Arial" w:eastAsia="Times New Roman" w:hAnsi="Arial" w:cs="Arial"/>
                <w:b/>
                <w:bCs/>
                <w:color w:val="003850"/>
                <w:sz w:val="21"/>
                <w:szCs w:val="21"/>
                <w:lang w:eastAsia="en-AU"/>
              </w:rPr>
            </w:pPr>
            <w:r w:rsidRPr="00A17593">
              <w:rPr>
                <w:rFonts w:ascii="Arial" w:eastAsia="Times New Roman" w:hAnsi="Arial" w:cs="Arial"/>
                <w:b/>
                <w:bCs/>
                <w:color w:val="003850"/>
                <w:sz w:val="21"/>
                <w:szCs w:val="21"/>
                <w:lang w:eastAsia="en-AU"/>
              </w:rPr>
              <w:t>CATEGORY B</w:t>
            </w:r>
          </w:p>
          <w:p w:rsidR="00A17593" w:rsidRPr="00A17593" w:rsidRDefault="00A17593" w:rsidP="00A17593">
            <w:pPr>
              <w:spacing w:after="120" w:line="384" w:lineRule="atLeast"/>
              <w:jc w:val="center"/>
              <w:rPr>
                <w:rFonts w:ascii="Arial" w:eastAsia="Times New Roman" w:hAnsi="Arial" w:cs="Arial"/>
                <w:b/>
                <w:bCs/>
                <w:color w:val="003850"/>
                <w:sz w:val="21"/>
                <w:szCs w:val="21"/>
                <w:lang w:eastAsia="en-AU"/>
              </w:rPr>
            </w:pPr>
            <w:r w:rsidRPr="00A17593">
              <w:rPr>
                <w:rFonts w:ascii="Arial" w:eastAsia="Times New Roman" w:hAnsi="Arial" w:cs="Arial"/>
                <w:b/>
                <w:bCs/>
                <w:color w:val="003850"/>
                <w:sz w:val="21"/>
                <w:szCs w:val="21"/>
                <w:lang w:eastAsia="en-AU"/>
              </w:rPr>
              <w:t>10 points</w:t>
            </w:r>
          </w:p>
        </w:tc>
        <w:tc>
          <w:tcPr>
            <w:tcW w:w="0" w:type="auto"/>
            <w:shd w:val="clear" w:color="auto" w:fill="ABC6E7"/>
            <w:tcMar>
              <w:top w:w="105" w:type="dxa"/>
              <w:left w:w="120" w:type="dxa"/>
              <w:bottom w:w="105" w:type="dxa"/>
              <w:right w:w="120" w:type="dxa"/>
            </w:tcMar>
            <w:vAlign w:val="center"/>
            <w:hideMark/>
          </w:tcPr>
          <w:p w:rsidR="00A17593" w:rsidRPr="00A17593" w:rsidRDefault="00A17593" w:rsidP="00A17593">
            <w:pPr>
              <w:numPr>
                <w:ilvl w:val="0"/>
                <w:numId w:val="5"/>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Post office – mail  redirection</w:t>
            </w:r>
          </w:p>
          <w:p w:rsidR="00A17593" w:rsidRPr="00A17593" w:rsidRDefault="00A17593" w:rsidP="00A17593">
            <w:pPr>
              <w:numPr>
                <w:ilvl w:val="0"/>
                <w:numId w:val="5"/>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Retail purchase</w:t>
            </w:r>
          </w:p>
          <w:p w:rsidR="00A17593" w:rsidRPr="00A17593" w:rsidRDefault="00A17593" w:rsidP="00A17593">
            <w:pPr>
              <w:numPr>
                <w:ilvl w:val="0"/>
                <w:numId w:val="5"/>
              </w:numPr>
              <w:spacing w:before="100" w:beforeAutospacing="1" w:after="100" w:afterAutospacing="1" w:line="384" w:lineRule="atLeast"/>
              <w:ind w:left="375"/>
              <w:rPr>
                <w:rFonts w:ascii="Arial" w:eastAsia="Times New Roman" w:hAnsi="Arial" w:cs="Arial"/>
                <w:color w:val="003850"/>
                <w:sz w:val="21"/>
                <w:szCs w:val="21"/>
                <w:lang w:eastAsia="en-AU"/>
              </w:rPr>
            </w:pPr>
            <w:r w:rsidRPr="00A17593">
              <w:rPr>
                <w:rFonts w:ascii="Arial" w:eastAsia="Times New Roman" w:hAnsi="Arial" w:cs="Arial"/>
                <w:color w:val="003850"/>
                <w:sz w:val="21"/>
                <w:szCs w:val="21"/>
                <w:lang w:eastAsia="en-AU"/>
              </w:rPr>
              <w:t>Statutory declaration</w:t>
            </w:r>
          </w:p>
        </w:tc>
      </w:tr>
    </w:tbl>
    <w:p w:rsidR="00A17593" w:rsidRDefault="00A17593" w:rsidP="00A17593">
      <w:pPr>
        <w:shd w:val="clear" w:color="auto" w:fill="FFFFFF"/>
        <w:spacing w:before="100" w:beforeAutospacing="1" w:after="100" w:afterAutospacing="1" w:line="480" w:lineRule="atLeast"/>
        <w:outlineLvl w:val="1"/>
        <w:rPr>
          <w:rFonts w:ascii="Arial" w:eastAsia="Times New Roman" w:hAnsi="Arial" w:cs="Arial"/>
          <w:b/>
          <w:bCs/>
          <w:caps/>
          <w:color w:val="65676D"/>
          <w:sz w:val="36"/>
          <w:szCs w:val="36"/>
          <w:lang w:eastAsia="en-AU"/>
        </w:rPr>
      </w:pPr>
    </w:p>
    <w:p w:rsidR="00A17593" w:rsidRDefault="00A17593">
      <w:pPr>
        <w:rPr>
          <w:rFonts w:ascii="Arial" w:eastAsia="Times New Roman" w:hAnsi="Arial" w:cs="Arial"/>
          <w:b/>
          <w:bCs/>
          <w:caps/>
          <w:color w:val="65676D"/>
          <w:sz w:val="36"/>
          <w:szCs w:val="36"/>
          <w:lang w:eastAsia="en-AU"/>
        </w:rPr>
      </w:pPr>
      <w:r>
        <w:rPr>
          <w:rFonts w:ascii="Arial" w:eastAsia="Times New Roman" w:hAnsi="Arial" w:cs="Arial"/>
          <w:b/>
          <w:bCs/>
          <w:caps/>
          <w:color w:val="65676D"/>
          <w:sz w:val="36"/>
          <w:szCs w:val="36"/>
          <w:lang w:eastAsia="en-AU"/>
        </w:rPr>
        <w:br w:type="page"/>
      </w:r>
    </w:p>
    <w:p w:rsidR="00A17593" w:rsidRPr="00A17593" w:rsidRDefault="00A17593" w:rsidP="00A17593">
      <w:pPr>
        <w:shd w:val="clear" w:color="auto" w:fill="FFFFFF"/>
        <w:spacing w:before="100" w:beforeAutospacing="1" w:after="100" w:afterAutospacing="1" w:line="480" w:lineRule="atLeast"/>
        <w:outlineLvl w:val="1"/>
        <w:rPr>
          <w:rFonts w:ascii="Arial" w:eastAsia="Times New Roman" w:hAnsi="Arial" w:cs="Arial"/>
          <w:b/>
          <w:bCs/>
          <w:caps/>
          <w:color w:val="65676D"/>
          <w:sz w:val="36"/>
          <w:szCs w:val="36"/>
          <w:lang w:eastAsia="en-AU"/>
        </w:rPr>
      </w:pPr>
      <w:r w:rsidRPr="00A17593">
        <w:rPr>
          <w:rFonts w:ascii="Arial" w:eastAsia="Times New Roman" w:hAnsi="Arial" w:cs="Arial"/>
          <w:b/>
          <w:bCs/>
          <w:caps/>
          <w:color w:val="65676D"/>
          <w:sz w:val="36"/>
          <w:szCs w:val="36"/>
          <w:lang w:eastAsia="en-AU"/>
        </w:rPr>
        <w:lastRenderedPageBreak/>
        <w:t>GENERAL PRINCIPLES</w:t>
      </w:r>
    </w:p>
    <w:p w:rsidR="00A17593" w:rsidRPr="00A17593" w:rsidRDefault="00A17593" w:rsidP="00A17593">
      <w:pPr>
        <w:numPr>
          <w:ilvl w:val="0"/>
          <w:numId w:val="6"/>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 school recognises and follows the procedures outlined in </w:t>
      </w:r>
      <w:r w:rsidRPr="00A17593">
        <w:rPr>
          <w:rFonts w:ascii="Arial" w:eastAsia="Times New Roman" w:hAnsi="Arial" w:cs="Arial"/>
          <w:b/>
          <w:bCs/>
          <w:color w:val="65676F"/>
          <w:sz w:val="21"/>
          <w:szCs w:val="21"/>
          <w:lang w:eastAsia="en-AU"/>
        </w:rPr>
        <w:t>Enrolment of Students in Government Schools: A Summary and Consolidation of Policy (August 1997</w:t>
      </w:r>
      <w:r w:rsidRPr="00A17593">
        <w:rPr>
          <w:rFonts w:ascii="Arial" w:eastAsia="Times New Roman" w:hAnsi="Arial" w:cs="Arial"/>
          <w:i/>
          <w:iCs/>
          <w:color w:val="65676F"/>
          <w:sz w:val="21"/>
          <w:szCs w:val="21"/>
          <w:lang w:eastAsia="en-AU"/>
        </w:rPr>
        <w:t>)</w:t>
      </w:r>
      <w:r w:rsidRPr="00A17593">
        <w:rPr>
          <w:rFonts w:ascii="Arial" w:eastAsia="Times New Roman" w:hAnsi="Arial" w:cs="Arial"/>
          <w:color w:val="65676F"/>
          <w:sz w:val="21"/>
          <w:szCs w:val="21"/>
          <w:lang w:eastAsia="en-AU"/>
        </w:rPr>
        <w:t>.</w:t>
      </w:r>
    </w:p>
    <w:p w:rsidR="00A17593" w:rsidRPr="00A17593" w:rsidRDefault="00A17593" w:rsidP="00A17593">
      <w:pPr>
        <w:numPr>
          <w:ilvl w:val="0"/>
          <w:numId w:val="6"/>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A student is considered to be enrolled when he or she is placed in the admission register of the school.</w:t>
      </w:r>
    </w:p>
    <w:p w:rsidR="00A17593" w:rsidRPr="00A17593" w:rsidRDefault="00A17593" w:rsidP="00A17593">
      <w:pPr>
        <w:numPr>
          <w:ilvl w:val="0"/>
          <w:numId w:val="6"/>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A student is considered to have ceased his or her enrolment when either the school is notified in writing of this by the parent/care-giver or when, after a significant period of non-attendance, no response is received to enquiries concerning attendance/enrolment.</w:t>
      </w:r>
    </w:p>
    <w:p w:rsidR="00A17593" w:rsidRPr="00A17593" w:rsidRDefault="00A17593" w:rsidP="00A17593">
      <w:pPr>
        <w:numPr>
          <w:ilvl w:val="0"/>
          <w:numId w:val="6"/>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 xml:space="preserve">A student </w:t>
      </w:r>
      <w:r>
        <w:rPr>
          <w:rFonts w:ascii="Arial" w:eastAsia="Times New Roman" w:hAnsi="Arial" w:cs="Arial"/>
          <w:color w:val="65676F"/>
          <w:sz w:val="21"/>
          <w:szCs w:val="21"/>
          <w:lang w:eastAsia="en-AU"/>
        </w:rPr>
        <w:t>should</w:t>
      </w:r>
      <w:r w:rsidRPr="00A17593">
        <w:rPr>
          <w:rFonts w:ascii="Arial" w:eastAsia="Times New Roman" w:hAnsi="Arial" w:cs="Arial"/>
          <w:color w:val="65676F"/>
          <w:sz w:val="21"/>
          <w:szCs w:val="21"/>
          <w:lang w:eastAsia="en-AU"/>
        </w:rPr>
        <w:t xml:space="preserve"> only be enrolled from another state school if he/she has a </w:t>
      </w:r>
      <w:r w:rsidRPr="00A17593">
        <w:rPr>
          <w:rFonts w:ascii="Arial" w:eastAsia="Times New Roman" w:hAnsi="Arial" w:cs="Arial"/>
          <w:i/>
          <w:iCs/>
          <w:color w:val="65676F"/>
          <w:sz w:val="21"/>
          <w:szCs w:val="21"/>
          <w:lang w:eastAsia="en-AU"/>
        </w:rPr>
        <w:t>Student Transfer Certificate</w:t>
      </w:r>
      <w:r w:rsidRPr="00A17593">
        <w:rPr>
          <w:rFonts w:ascii="Arial" w:eastAsia="Times New Roman" w:hAnsi="Arial" w:cs="Arial"/>
          <w:color w:val="65676F"/>
          <w:sz w:val="21"/>
          <w:szCs w:val="21"/>
          <w:lang w:eastAsia="en-AU"/>
        </w:rPr>
        <w:t>. Students continue to be enrolled until issued with a </w:t>
      </w:r>
      <w:r w:rsidRPr="00A17593">
        <w:rPr>
          <w:rFonts w:ascii="Arial" w:eastAsia="Times New Roman" w:hAnsi="Arial" w:cs="Arial"/>
          <w:i/>
          <w:iCs/>
          <w:color w:val="65676F"/>
          <w:sz w:val="21"/>
          <w:szCs w:val="21"/>
          <w:lang w:eastAsia="en-AU"/>
        </w:rPr>
        <w:t>Student Transfer Certificate</w:t>
      </w:r>
      <w:r w:rsidRPr="00A17593">
        <w:rPr>
          <w:rFonts w:ascii="Arial" w:eastAsia="Times New Roman" w:hAnsi="Arial" w:cs="Arial"/>
          <w:color w:val="65676F"/>
          <w:sz w:val="21"/>
          <w:szCs w:val="21"/>
          <w:lang w:eastAsia="en-AU"/>
        </w:rPr>
        <w:t> to another state school, or until enrolling in a non-government school, or until notification is given by care-givers of the cessation of the enrolment due to the student having reached an age where school attendance is no longer compulsory.</w:t>
      </w:r>
    </w:p>
    <w:p w:rsidR="00A17593" w:rsidRPr="00A17593" w:rsidRDefault="00A17593" w:rsidP="00A17593">
      <w:pPr>
        <w:numPr>
          <w:ilvl w:val="0"/>
          <w:numId w:val="6"/>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 school recognises the importance of its position within the local community and the ease of transport when attending a local school. For these reasons, the school supports the local enrolment of students.</w:t>
      </w:r>
    </w:p>
    <w:p w:rsidR="00A17593" w:rsidRPr="00A17593" w:rsidRDefault="00A17593" w:rsidP="00A17593">
      <w:pPr>
        <w:numPr>
          <w:ilvl w:val="0"/>
          <w:numId w:val="6"/>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 school rejects any discrimination in enrolment on any grounds; including age, race, religion, ethnicity, sexuality or physical disability (provided that the school has sufficient support services to deal effectively with the particular disability).</w:t>
      </w:r>
    </w:p>
    <w:p w:rsidR="00A17593" w:rsidRPr="00A17593" w:rsidRDefault="00A17593" w:rsidP="00A17593">
      <w:pPr>
        <w:numPr>
          <w:ilvl w:val="0"/>
          <w:numId w:val="6"/>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 xml:space="preserve">The school does not believe that it is generally </w:t>
      </w:r>
      <w:r>
        <w:rPr>
          <w:rFonts w:ascii="Arial" w:eastAsia="Times New Roman" w:hAnsi="Arial" w:cs="Arial"/>
          <w:color w:val="65676F"/>
          <w:sz w:val="21"/>
          <w:szCs w:val="21"/>
          <w:lang w:eastAsia="en-AU"/>
        </w:rPr>
        <w:t>desirable</w:t>
      </w:r>
      <w:r w:rsidRPr="00A17593">
        <w:rPr>
          <w:rFonts w:ascii="Arial" w:eastAsia="Times New Roman" w:hAnsi="Arial" w:cs="Arial"/>
          <w:color w:val="65676F"/>
          <w:sz w:val="21"/>
          <w:szCs w:val="21"/>
          <w:lang w:eastAsia="en-AU"/>
        </w:rPr>
        <w:t xml:space="preserve"> for new enrolments to be accepted in Term IV of any year.</w:t>
      </w:r>
    </w:p>
    <w:p w:rsidR="00A17593" w:rsidRPr="00A17593" w:rsidRDefault="00A17593" w:rsidP="00A17593">
      <w:pPr>
        <w:numPr>
          <w:ilvl w:val="0"/>
          <w:numId w:val="6"/>
        </w:numPr>
        <w:shd w:val="clear" w:color="auto" w:fill="FFFFFF"/>
        <w:spacing w:after="120"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Students wishing to enrol at the school in the following year, will be required to complete an “</w:t>
      </w:r>
      <w:r w:rsidRPr="00A17593">
        <w:rPr>
          <w:rFonts w:ascii="Arial" w:eastAsia="Times New Roman" w:hAnsi="Arial" w:cs="Arial"/>
          <w:i/>
          <w:iCs/>
          <w:color w:val="65676F"/>
          <w:sz w:val="21"/>
          <w:szCs w:val="21"/>
          <w:lang w:eastAsia="en-AU"/>
        </w:rPr>
        <w:t>Application to Enrol</w:t>
      </w:r>
      <w:r w:rsidRPr="00A17593">
        <w:rPr>
          <w:rFonts w:ascii="Arial" w:eastAsia="Times New Roman" w:hAnsi="Arial" w:cs="Arial"/>
          <w:color w:val="65676F"/>
          <w:sz w:val="21"/>
          <w:szCs w:val="21"/>
          <w:lang w:eastAsia="en-AU"/>
        </w:rPr>
        <w:t> in a NSW Government school” form.  It must be noted that until a completed application to enrol form has been </w:t>
      </w:r>
      <w:r w:rsidRPr="00A17593">
        <w:rPr>
          <w:rFonts w:ascii="Arial" w:eastAsia="Times New Roman" w:hAnsi="Arial" w:cs="Arial"/>
          <w:b/>
          <w:bCs/>
          <w:color w:val="65676F"/>
          <w:sz w:val="21"/>
          <w:szCs w:val="21"/>
          <w:lang w:eastAsia="en-AU"/>
        </w:rPr>
        <w:t>accepted</w:t>
      </w:r>
      <w:r w:rsidRPr="00A17593">
        <w:rPr>
          <w:rFonts w:ascii="Arial" w:eastAsia="Times New Roman" w:hAnsi="Arial" w:cs="Arial"/>
          <w:color w:val="65676F"/>
          <w:sz w:val="21"/>
          <w:szCs w:val="21"/>
          <w:lang w:eastAsia="en-AU"/>
        </w:rPr>
        <w:t xml:space="preserve"> by the school, a child’s enrolment at </w:t>
      </w:r>
      <w:r>
        <w:rPr>
          <w:rFonts w:ascii="Arial" w:eastAsia="Times New Roman" w:hAnsi="Arial" w:cs="Arial"/>
          <w:color w:val="65676F"/>
          <w:sz w:val="21"/>
          <w:szCs w:val="21"/>
          <w:lang w:eastAsia="en-AU"/>
        </w:rPr>
        <w:t>Lightning Ridge Central School</w:t>
      </w:r>
      <w:r w:rsidRPr="00A17593">
        <w:rPr>
          <w:rFonts w:ascii="Arial" w:eastAsia="Times New Roman" w:hAnsi="Arial" w:cs="Arial"/>
          <w:color w:val="65676F"/>
          <w:sz w:val="21"/>
          <w:szCs w:val="21"/>
          <w:lang w:eastAsia="en-AU"/>
        </w:rPr>
        <w:t xml:space="preserve"> has not been finalised. If accepted, an official confirmation of enrolment will be sent to parents.</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CRITERIA FOR NON-LOCAL APPLICANTS</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 xml:space="preserve">The school </w:t>
      </w:r>
      <w:r w:rsidR="005A10C9">
        <w:rPr>
          <w:rFonts w:ascii="Arial" w:eastAsia="Times New Roman" w:hAnsi="Arial" w:cs="Arial"/>
          <w:color w:val="65676F"/>
          <w:sz w:val="21"/>
          <w:szCs w:val="21"/>
          <w:lang w:eastAsia="en-AU"/>
        </w:rPr>
        <w:t xml:space="preserve">can </w:t>
      </w:r>
      <w:r w:rsidRPr="00A17593">
        <w:rPr>
          <w:rFonts w:ascii="Arial" w:eastAsia="Times New Roman" w:hAnsi="Arial" w:cs="Arial"/>
          <w:color w:val="65676F"/>
          <w:sz w:val="21"/>
          <w:szCs w:val="21"/>
          <w:lang w:eastAsia="en-AU"/>
        </w:rPr>
        <w:t>receive applications from non-local students. All non-local applicants will be considered for enrolment by an </w:t>
      </w:r>
      <w:r w:rsidRPr="00A17593">
        <w:rPr>
          <w:rFonts w:ascii="Arial" w:eastAsia="Times New Roman" w:hAnsi="Arial" w:cs="Arial"/>
          <w:i/>
          <w:iCs/>
          <w:color w:val="65676F"/>
          <w:sz w:val="21"/>
          <w:szCs w:val="21"/>
          <w:lang w:eastAsia="en-AU"/>
        </w:rPr>
        <w:t>Enrolment Panel</w:t>
      </w:r>
      <w:r w:rsidRPr="00A17593">
        <w:rPr>
          <w:rFonts w:ascii="Arial" w:eastAsia="Times New Roman" w:hAnsi="Arial" w:cs="Arial"/>
          <w:color w:val="65676F"/>
          <w:sz w:val="21"/>
          <w:szCs w:val="21"/>
          <w:lang w:eastAsia="en-AU"/>
        </w:rPr>
        <w:t>, the Principal. The school will accept non-local enrolments based on the following criteria (in no particular order). </w:t>
      </w:r>
      <w:r w:rsidRPr="00A17593">
        <w:rPr>
          <w:rFonts w:ascii="Arial" w:eastAsia="Times New Roman" w:hAnsi="Arial" w:cs="Arial"/>
          <w:b/>
          <w:bCs/>
          <w:color w:val="65676F"/>
          <w:sz w:val="21"/>
          <w:szCs w:val="21"/>
          <w:lang w:eastAsia="en-AU"/>
        </w:rPr>
        <w:t>No single criterion will guarantee automatic placement.</w:t>
      </w:r>
    </w:p>
    <w:p w:rsidR="005A10C9" w:rsidRDefault="005A10C9" w:rsidP="00A17593">
      <w:pPr>
        <w:shd w:val="clear" w:color="auto" w:fill="FFFFFF"/>
        <w:spacing w:after="120" w:line="384" w:lineRule="atLeast"/>
        <w:rPr>
          <w:rFonts w:ascii="Arial" w:eastAsia="Times New Roman" w:hAnsi="Arial" w:cs="Arial"/>
          <w:color w:val="65676F"/>
          <w:sz w:val="21"/>
          <w:szCs w:val="21"/>
          <w:lang w:eastAsia="en-AU"/>
        </w:rPr>
      </w:pPr>
    </w:p>
    <w:p w:rsidR="005A10C9" w:rsidRDefault="005A10C9"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b/>
          <w:bCs/>
          <w:caps/>
          <w:color w:val="65676F"/>
          <w:sz w:val="29"/>
          <w:szCs w:val="29"/>
          <w:lang w:eastAsia="en-AU"/>
        </w:rPr>
        <w:lastRenderedPageBreak/>
        <w:t>APPLICATIONS FOR PLACEMENT</w:t>
      </w:r>
      <w:r w:rsidR="00A17593" w:rsidRPr="00A17593">
        <w:rPr>
          <w:rFonts w:ascii="Arial" w:eastAsia="Times New Roman" w:hAnsi="Arial" w:cs="Arial"/>
          <w:color w:val="65676F"/>
          <w:sz w:val="21"/>
          <w:szCs w:val="21"/>
          <w:lang w:eastAsia="en-AU"/>
        </w:rPr>
        <w:t xml:space="preserve"> </w:t>
      </w:r>
    </w:p>
    <w:p w:rsidR="00A458ED" w:rsidRDefault="00A458ED" w:rsidP="00A17593">
      <w:pPr>
        <w:shd w:val="clear" w:color="auto" w:fill="FFFFFF"/>
        <w:spacing w:after="120" w:line="384" w:lineRule="atLeast"/>
        <w:rPr>
          <w:rFonts w:ascii="Arial" w:eastAsia="Times New Roman" w:hAnsi="Arial" w:cs="Arial"/>
          <w:color w:val="65676F"/>
          <w:sz w:val="21"/>
          <w:szCs w:val="21"/>
          <w:lang w:eastAsia="en-AU"/>
        </w:rPr>
      </w:pPr>
      <w:r>
        <w:rPr>
          <w:rFonts w:ascii="Arial" w:eastAsia="Times New Roman" w:hAnsi="Arial" w:cs="Arial"/>
          <w:color w:val="65676F"/>
          <w:sz w:val="21"/>
          <w:szCs w:val="21"/>
          <w:lang w:eastAsia="en-AU"/>
        </w:rPr>
        <w:t>Applicants will provide evidence of meeting some or all of the listed criteria.</w:t>
      </w:r>
    </w:p>
    <w:p w:rsidR="00A17593" w:rsidRPr="00A17593" w:rsidRDefault="00A17593" w:rsidP="00A17593">
      <w:pPr>
        <w:numPr>
          <w:ilvl w:val="0"/>
          <w:numId w:val="7"/>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Academic performance/achievements as demonstrated through the application</w:t>
      </w:r>
    </w:p>
    <w:p w:rsidR="00A17593" w:rsidRPr="00A17593" w:rsidRDefault="00A17593" w:rsidP="00A17593">
      <w:pPr>
        <w:numPr>
          <w:ilvl w:val="0"/>
          <w:numId w:val="7"/>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Performing Arts (for example, band, dance, vocal, drama)</w:t>
      </w:r>
    </w:p>
    <w:p w:rsidR="00A17593" w:rsidRPr="00A17593" w:rsidRDefault="00A17593" w:rsidP="00A17593">
      <w:pPr>
        <w:numPr>
          <w:ilvl w:val="0"/>
          <w:numId w:val="7"/>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Leadership (Including social justice, SRC, and other civics and citizenship achievements)</w:t>
      </w:r>
    </w:p>
    <w:p w:rsidR="00A17593" w:rsidRPr="00A17593" w:rsidRDefault="00A17593" w:rsidP="00A17593">
      <w:pPr>
        <w:numPr>
          <w:ilvl w:val="0"/>
          <w:numId w:val="7"/>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Sporting achievements</w:t>
      </w:r>
    </w:p>
    <w:p w:rsidR="00A17593" w:rsidRPr="00A17593" w:rsidRDefault="00A17593" w:rsidP="00A17593">
      <w:pPr>
        <w:numPr>
          <w:ilvl w:val="0"/>
          <w:numId w:val="7"/>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 xml:space="preserve">Siblings currently attending </w:t>
      </w:r>
      <w:r>
        <w:rPr>
          <w:rFonts w:ascii="Arial" w:eastAsia="Times New Roman" w:hAnsi="Arial" w:cs="Arial"/>
          <w:color w:val="65676F"/>
          <w:sz w:val="21"/>
          <w:szCs w:val="21"/>
          <w:lang w:eastAsia="en-AU"/>
        </w:rPr>
        <w:t>Lightning Ridge Central</w:t>
      </w:r>
      <w:r w:rsidRPr="00A17593">
        <w:rPr>
          <w:rFonts w:ascii="Arial" w:eastAsia="Times New Roman" w:hAnsi="Arial" w:cs="Arial"/>
          <w:color w:val="65676F"/>
          <w:sz w:val="21"/>
          <w:szCs w:val="21"/>
          <w:lang w:eastAsia="en-AU"/>
        </w:rPr>
        <w:t xml:space="preserve"> School</w:t>
      </w:r>
    </w:p>
    <w:p w:rsidR="005A10C9" w:rsidRDefault="00A17593" w:rsidP="005A10C9">
      <w:pPr>
        <w:numPr>
          <w:ilvl w:val="0"/>
          <w:numId w:val="7"/>
        </w:numPr>
        <w:shd w:val="clear" w:color="auto" w:fill="FFFFFF"/>
        <w:spacing w:before="100" w:beforeAutospacing="1" w:after="100" w:afterAutospacing="1" w:line="384" w:lineRule="atLeast"/>
        <w:ind w:left="374" w:hanging="357"/>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Compassionate or family circumstances</w:t>
      </w:r>
    </w:p>
    <w:p w:rsidR="00A17593" w:rsidRPr="00A17593" w:rsidRDefault="00A17593" w:rsidP="005A10C9">
      <w:pPr>
        <w:numPr>
          <w:ilvl w:val="0"/>
          <w:numId w:val="7"/>
        </w:numPr>
        <w:shd w:val="clear" w:color="auto" w:fill="FFFFFF"/>
        <w:spacing w:before="100" w:beforeAutospacing="1" w:after="100" w:afterAutospacing="1" w:line="384" w:lineRule="atLeast"/>
        <w:ind w:left="374" w:hanging="357"/>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There are sufficient vacancies within the school’s establishment limits to accommodate the student while still allowing for possible local enrolments.</w:t>
      </w:r>
    </w:p>
    <w:p w:rsidR="00A17593" w:rsidRPr="00A17593" w:rsidRDefault="00A17593" w:rsidP="00A17593">
      <w:pPr>
        <w:numPr>
          <w:ilvl w:val="0"/>
          <w:numId w:val="8"/>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 student has a satisfactory record of attendance, behaviour and progress at the previous school/s of enrolment.</w:t>
      </w:r>
    </w:p>
    <w:p w:rsidR="00A17593" w:rsidRPr="00A17593" w:rsidRDefault="00A17593" w:rsidP="00A17593">
      <w:pPr>
        <w:numPr>
          <w:ilvl w:val="0"/>
          <w:numId w:val="8"/>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 student should be able to travel to and from the school in a way that is considered to be reasonable and will not impact on their social and/or academic progress.</w:t>
      </w:r>
    </w:p>
    <w:p w:rsidR="005A10C9" w:rsidRDefault="005A10C9" w:rsidP="00A17593">
      <w:pPr>
        <w:numPr>
          <w:ilvl w:val="0"/>
          <w:numId w:val="8"/>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Pr>
          <w:rFonts w:ascii="Arial" w:eastAsia="Times New Roman" w:hAnsi="Arial" w:cs="Arial"/>
          <w:color w:val="65676F"/>
          <w:sz w:val="21"/>
          <w:szCs w:val="21"/>
          <w:lang w:eastAsia="en-AU"/>
        </w:rPr>
        <w:t>The impact on the current school and its students and community</w:t>
      </w:r>
      <w:r w:rsidR="00A458ED">
        <w:rPr>
          <w:rFonts w:ascii="Arial" w:eastAsia="Times New Roman" w:hAnsi="Arial" w:cs="Arial"/>
          <w:color w:val="65676F"/>
          <w:sz w:val="21"/>
          <w:szCs w:val="21"/>
          <w:lang w:eastAsia="en-AU"/>
        </w:rPr>
        <w:t xml:space="preserve"> will be assessed</w:t>
      </w:r>
      <w:bookmarkStart w:id="0" w:name="_GoBack"/>
      <w:bookmarkEnd w:id="0"/>
      <w:r>
        <w:rPr>
          <w:rFonts w:ascii="Arial" w:eastAsia="Times New Roman" w:hAnsi="Arial" w:cs="Arial"/>
          <w:color w:val="65676F"/>
          <w:sz w:val="21"/>
          <w:szCs w:val="21"/>
          <w:lang w:eastAsia="en-AU"/>
        </w:rPr>
        <w:t>.</w:t>
      </w:r>
    </w:p>
    <w:p w:rsidR="00A17593" w:rsidRPr="00A17593" w:rsidRDefault="00A17593" w:rsidP="00A17593">
      <w:pPr>
        <w:numPr>
          <w:ilvl w:val="0"/>
          <w:numId w:val="8"/>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Students should be able to obtain appropriate subjects to allow continuity of study. Suitable subjects are available to allow a relevant continuity of study.</w:t>
      </w:r>
    </w:p>
    <w:p w:rsidR="00A17593" w:rsidRPr="00A17593" w:rsidRDefault="00A17593" w:rsidP="00A17593">
      <w:pPr>
        <w:numPr>
          <w:ilvl w:val="0"/>
          <w:numId w:val="8"/>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 student has no history of violence or drug-abuse at the previous school, unless it can be demonstrated that appropriate skills have been learnt to manage these behaviours.</w:t>
      </w:r>
    </w:p>
    <w:p w:rsidR="00A17593" w:rsidRPr="00A17593" w:rsidRDefault="00A17593" w:rsidP="00A17593">
      <w:pPr>
        <w:numPr>
          <w:ilvl w:val="0"/>
          <w:numId w:val="8"/>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Students must show an appropriateness of age for the school cohort.</w:t>
      </w:r>
    </w:p>
    <w:p w:rsidR="00A17593" w:rsidRPr="00A17593" w:rsidRDefault="00A17593" w:rsidP="00A17593">
      <w:pPr>
        <w:numPr>
          <w:ilvl w:val="0"/>
          <w:numId w:val="8"/>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 school is able to offer adequate human and physical resources to meet the needs of the enrolling student. This will depend heavily upon the student’s educational needs and the availability of support services. In some circumstances, the level of support required will make it necessary for the Principal to direct students to an alternative enrolment.</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ENROLMENT PANEL</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 xml:space="preserve">Where demand for non-local places exceeds availability, a Placement Panel shall be formed by the Principal. It will consist of the Principal, one parent representative from the </w:t>
      </w:r>
      <w:r w:rsidR="005A10C9">
        <w:rPr>
          <w:rFonts w:ascii="Arial" w:eastAsia="Times New Roman" w:hAnsi="Arial" w:cs="Arial"/>
          <w:color w:val="65676F"/>
          <w:sz w:val="21"/>
          <w:szCs w:val="21"/>
          <w:lang w:eastAsia="en-AU"/>
        </w:rPr>
        <w:t>LRCS</w:t>
      </w:r>
      <w:r w:rsidRPr="00A17593">
        <w:rPr>
          <w:rFonts w:ascii="Arial" w:eastAsia="Times New Roman" w:hAnsi="Arial" w:cs="Arial"/>
          <w:color w:val="65676F"/>
          <w:sz w:val="21"/>
          <w:szCs w:val="21"/>
          <w:lang w:eastAsia="en-AU"/>
        </w:rPr>
        <w:t xml:space="preserve"> </w:t>
      </w:r>
      <w:r w:rsidR="005A10C9">
        <w:rPr>
          <w:rFonts w:ascii="Arial" w:eastAsia="Times New Roman" w:hAnsi="Arial" w:cs="Arial"/>
          <w:color w:val="65676F"/>
          <w:sz w:val="21"/>
          <w:szCs w:val="21"/>
          <w:lang w:eastAsia="en-AU"/>
        </w:rPr>
        <w:t>Parent body</w:t>
      </w:r>
      <w:r w:rsidRPr="00A17593">
        <w:rPr>
          <w:rFonts w:ascii="Arial" w:eastAsia="Times New Roman" w:hAnsi="Arial" w:cs="Arial"/>
          <w:color w:val="65676F"/>
          <w:sz w:val="21"/>
          <w:szCs w:val="21"/>
          <w:lang w:eastAsia="en-AU"/>
        </w:rPr>
        <w:t>, and a staff representative. The committee will be chaired by the Principal. At other times in the year the Principal or nominee shall decide on the enrolment of non-local students.</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WAITING LISTS</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 xml:space="preserve">A waiting list will be established for non-local students seeking placement in Year 7. Parents will be advised in writing if their child is to be placed on a waiting list. Waiting lists are current for one year only. Students on waiting lists must be in full attendance at another school. The Principal </w:t>
      </w:r>
      <w:r w:rsidRPr="00A17593">
        <w:rPr>
          <w:rFonts w:ascii="Arial" w:eastAsia="Times New Roman" w:hAnsi="Arial" w:cs="Arial"/>
          <w:color w:val="65676F"/>
          <w:sz w:val="21"/>
          <w:szCs w:val="21"/>
          <w:lang w:eastAsia="en-AU"/>
        </w:rPr>
        <w:lastRenderedPageBreak/>
        <w:t>will reconvene the placement panel in the event of an additional non-local enrolment. The list may be re-prioritised if the panel believes the additional enrolment more suitably fits the school criteria than applicants placed lower on the list.</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APPEALS</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Where a parent wishes to appeal against the decision of the Principal/Placement Panel, the appeal should be made in writing to the Principal. The school recognises that if the situation is not resolved at the local level, parents have a right of appeal to the School Education Director to make a determination. Such appeals would be successful only if the school has failed to follow its stated criteria, or has failed to observe any directions given in </w:t>
      </w:r>
      <w:r w:rsidRPr="00A17593">
        <w:rPr>
          <w:rFonts w:ascii="Arial" w:eastAsia="Times New Roman" w:hAnsi="Arial" w:cs="Arial"/>
          <w:b/>
          <w:bCs/>
          <w:color w:val="65676F"/>
          <w:sz w:val="21"/>
          <w:szCs w:val="21"/>
          <w:lang w:eastAsia="en-AU"/>
        </w:rPr>
        <w:t>Enrolment of Students in Government Schools: A Summary and Consolidation of Policy (August 1997</w:t>
      </w:r>
      <w:r w:rsidRPr="00A17593">
        <w:rPr>
          <w:rFonts w:ascii="Arial" w:eastAsia="Times New Roman" w:hAnsi="Arial" w:cs="Arial"/>
          <w:i/>
          <w:iCs/>
          <w:color w:val="65676F"/>
          <w:sz w:val="21"/>
          <w:szCs w:val="21"/>
          <w:lang w:eastAsia="en-AU"/>
        </w:rPr>
        <w:t>)</w:t>
      </w:r>
      <w:r w:rsidRPr="00A17593">
        <w:rPr>
          <w:rFonts w:ascii="Arial" w:eastAsia="Times New Roman" w:hAnsi="Arial" w:cs="Arial"/>
          <w:color w:val="65676F"/>
          <w:sz w:val="21"/>
          <w:szCs w:val="21"/>
          <w:lang w:eastAsia="en-AU"/>
        </w:rPr>
        <w:t>.</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TRANSFER APPLICATIONS</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Students from non-government schools, interstate or from New Zealand, will be enrolled at this school consistent with its policy. The Deputy Principal, in consultation with the school counsellor and other relevant specialist teachers, will determine the appropriate year and level of study for the enrolling student.</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PART-TIME ENROLMENT</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Students are generally enrolled in the school on a full-time basis. In exceptional circumstances, however, part-time enrolments may occur. These circumstances might include:</w:t>
      </w:r>
    </w:p>
    <w:p w:rsidR="00A17593" w:rsidRPr="00A17593" w:rsidRDefault="00A17593" w:rsidP="00A17593">
      <w:pPr>
        <w:numPr>
          <w:ilvl w:val="0"/>
          <w:numId w:val="9"/>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Students in Years 11 and 12 who choose the HSC Pathway Option to accumulate units towards their HSC over several years</w:t>
      </w:r>
    </w:p>
    <w:p w:rsidR="00A17593" w:rsidRPr="00A17593" w:rsidRDefault="00A17593" w:rsidP="00A17593">
      <w:pPr>
        <w:numPr>
          <w:ilvl w:val="0"/>
          <w:numId w:val="9"/>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Students who undertake some of their studies external to the school</w:t>
      </w:r>
    </w:p>
    <w:p w:rsidR="00A17593" w:rsidRPr="00A17593" w:rsidRDefault="00A17593" w:rsidP="00A17593">
      <w:pPr>
        <w:numPr>
          <w:ilvl w:val="0"/>
          <w:numId w:val="9"/>
        </w:numPr>
        <w:shd w:val="clear" w:color="auto" w:fill="FFFFFF"/>
        <w:spacing w:before="100" w:beforeAutospacing="1" w:after="100" w:afterAutospacing="1" w:line="384" w:lineRule="atLeast"/>
        <w:ind w:left="375"/>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Students with medical conditions enrolling in distance education</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ENROLMENT FORMS</w:t>
      </w:r>
    </w:p>
    <w:p w:rsid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Care-givers/Parents are required to attend an interview at the school prior to any enrolment being considered (</w:t>
      </w:r>
      <w:r w:rsidR="005A10C9">
        <w:rPr>
          <w:rFonts w:ascii="Arial" w:eastAsia="Times New Roman" w:hAnsi="Arial" w:cs="Arial"/>
          <w:color w:val="65676F"/>
          <w:sz w:val="21"/>
          <w:szCs w:val="21"/>
          <w:lang w:eastAsia="en-AU"/>
        </w:rPr>
        <w:t>Kindergarten</w:t>
      </w:r>
      <w:r w:rsidRPr="00A17593">
        <w:rPr>
          <w:rFonts w:ascii="Arial" w:eastAsia="Times New Roman" w:hAnsi="Arial" w:cs="Arial"/>
          <w:color w:val="65676F"/>
          <w:sz w:val="21"/>
          <w:szCs w:val="21"/>
          <w:lang w:eastAsia="en-AU"/>
        </w:rPr>
        <w:t xml:space="preserve"> the following year </w:t>
      </w:r>
      <w:r w:rsidR="005A10C9">
        <w:rPr>
          <w:rFonts w:ascii="Arial" w:eastAsia="Times New Roman" w:hAnsi="Arial" w:cs="Arial"/>
          <w:color w:val="65676F"/>
          <w:sz w:val="21"/>
          <w:szCs w:val="21"/>
          <w:lang w:eastAsia="en-AU"/>
        </w:rPr>
        <w:t xml:space="preserve">may </w:t>
      </w:r>
      <w:r w:rsidRPr="00A17593">
        <w:rPr>
          <w:rFonts w:ascii="Arial" w:eastAsia="Times New Roman" w:hAnsi="Arial" w:cs="Arial"/>
          <w:color w:val="65676F"/>
          <w:sz w:val="21"/>
          <w:szCs w:val="21"/>
          <w:lang w:eastAsia="en-AU"/>
        </w:rPr>
        <w:t xml:space="preserve">be </w:t>
      </w:r>
      <w:proofErr w:type="gramStart"/>
      <w:r w:rsidRPr="00A17593">
        <w:rPr>
          <w:rFonts w:ascii="Arial" w:eastAsia="Times New Roman" w:hAnsi="Arial" w:cs="Arial"/>
          <w:color w:val="65676F"/>
          <w:sz w:val="21"/>
          <w:szCs w:val="21"/>
          <w:lang w:eastAsia="en-AU"/>
        </w:rPr>
        <w:t>excepted</w:t>
      </w:r>
      <w:proofErr w:type="gramEnd"/>
      <w:r w:rsidRPr="00A17593">
        <w:rPr>
          <w:rFonts w:ascii="Arial" w:eastAsia="Times New Roman" w:hAnsi="Arial" w:cs="Arial"/>
          <w:color w:val="65676F"/>
          <w:sz w:val="21"/>
          <w:szCs w:val="21"/>
          <w:lang w:eastAsia="en-AU"/>
        </w:rPr>
        <w:t xml:space="preserve">). At this interview, it may be necessary for parents to produce previous school reports and other related documents. Should a student be accepted into the school, information will be required concerning student details. Parents will be required to complete an “Application to Enrol in a NSW Government School”. It must be noted that until a completed application to enrol has been </w:t>
      </w:r>
      <w:r w:rsidRPr="00A17593">
        <w:rPr>
          <w:rFonts w:ascii="Arial" w:eastAsia="Times New Roman" w:hAnsi="Arial" w:cs="Arial"/>
          <w:b/>
          <w:color w:val="65676F"/>
          <w:sz w:val="21"/>
          <w:szCs w:val="21"/>
          <w:lang w:eastAsia="en-AU"/>
        </w:rPr>
        <w:t>accepted</w:t>
      </w:r>
      <w:r w:rsidRPr="00A17593">
        <w:rPr>
          <w:rFonts w:ascii="Arial" w:eastAsia="Times New Roman" w:hAnsi="Arial" w:cs="Arial"/>
          <w:color w:val="65676F"/>
          <w:sz w:val="21"/>
          <w:szCs w:val="21"/>
          <w:lang w:eastAsia="en-AU"/>
        </w:rPr>
        <w:t xml:space="preserve"> by the school, a child’s enrolment at </w:t>
      </w:r>
      <w:r>
        <w:rPr>
          <w:rFonts w:ascii="Arial" w:eastAsia="Times New Roman" w:hAnsi="Arial" w:cs="Arial"/>
          <w:color w:val="65676F"/>
          <w:sz w:val="21"/>
          <w:szCs w:val="21"/>
          <w:lang w:eastAsia="en-AU"/>
        </w:rPr>
        <w:t>Lightning Ridge Central School</w:t>
      </w:r>
      <w:r w:rsidRPr="00A17593">
        <w:rPr>
          <w:rFonts w:ascii="Arial" w:eastAsia="Times New Roman" w:hAnsi="Arial" w:cs="Arial"/>
          <w:color w:val="65676F"/>
          <w:sz w:val="21"/>
          <w:szCs w:val="21"/>
          <w:lang w:eastAsia="en-AU"/>
        </w:rPr>
        <w:t xml:space="preserve"> has not been finalised. If accepted, an official confirmation of enrolment will be sent to parents.</w:t>
      </w:r>
    </w:p>
    <w:p w:rsidR="005A10C9" w:rsidRPr="00A17593" w:rsidRDefault="005A10C9" w:rsidP="00A17593">
      <w:pPr>
        <w:shd w:val="clear" w:color="auto" w:fill="FFFFFF"/>
        <w:spacing w:after="120" w:line="384" w:lineRule="atLeast"/>
        <w:rPr>
          <w:rFonts w:ascii="Arial" w:eastAsia="Times New Roman" w:hAnsi="Arial" w:cs="Arial"/>
          <w:color w:val="65676F"/>
          <w:sz w:val="21"/>
          <w:szCs w:val="21"/>
          <w:lang w:eastAsia="en-AU"/>
        </w:rPr>
      </w:pP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lastRenderedPageBreak/>
        <w:t>ENROLMENT OF STUDENTS WITH SPECIAL NEEDS</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Enrolment of students with special learning needs will be undertaken in collaboration with parents, carers, school and DEC personnel to consider the full range of options available to meet the student’s learning needs and to take into consideration of any risk management concerns.</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Enrolment of students with disabilities will be considered after input from parents, school staff district appropriate D</w:t>
      </w:r>
      <w:r w:rsidR="005A10C9">
        <w:rPr>
          <w:rFonts w:ascii="Arial" w:eastAsia="Times New Roman" w:hAnsi="Arial" w:cs="Arial"/>
          <w:color w:val="65676F"/>
          <w:sz w:val="21"/>
          <w:szCs w:val="21"/>
          <w:lang w:eastAsia="en-AU"/>
        </w:rPr>
        <w:t>oE</w:t>
      </w:r>
      <w:r w:rsidRPr="00A17593">
        <w:rPr>
          <w:rFonts w:ascii="Arial" w:eastAsia="Times New Roman" w:hAnsi="Arial" w:cs="Arial"/>
          <w:color w:val="65676F"/>
          <w:sz w:val="21"/>
          <w:szCs w:val="21"/>
          <w:lang w:eastAsia="en-AU"/>
        </w:rPr>
        <w:t xml:space="preserve"> staff and other professionals, in line with the policy, “</w:t>
      </w:r>
      <w:r w:rsidRPr="00A17593">
        <w:rPr>
          <w:rFonts w:ascii="Arial" w:eastAsia="Times New Roman" w:hAnsi="Arial" w:cs="Arial"/>
          <w:i/>
          <w:iCs/>
          <w:color w:val="65676F"/>
          <w:sz w:val="21"/>
          <w:szCs w:val="21"/>
          <w:lang w:eastAsia="en-AU"/>
        </w:rPr>
        <w:t>Enrolment of Children with Disabilities”</w:t>
      </w:r>
      <w:r w:rsidRPr="00A17593">
        <w:rPr>
          <w:rFonts w:ascii="Arial" w:eastAsia="Times New Roman" w:hAnsi="Arial" w:cs="Arial"/>
          <w:color w:val="65676F"/>
          <w:sz w:val="21"/>
          <w:szCs w:val="21"/>
          <w:lang w:eastAsia="en-AU"/>
        </w:rPr>
        <w:t> (Memorandum 88/107) </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ENROLMENT OF NON-AUSTRALIAN CITIZENS</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Non Australian students must hold a visa, and may be enrolled under conditions set out in the booklet “</w:t>
      </w:r>
      <w:r w:rsidRPr="00A17593">
        <w:rPr>
          <w:rFonts w:ascii="Arial" w:eastAsia="Times New Roman" w:hAnsi="Arial" w:cs="Arial"/>
          <w:i/>
          <w:iCs/>
          <w:color w:val="65676F"/>
          <w:sz w:val="21"/>
          <w:szCs w:val="21"/>
          <w:lang w:eastAsia="en-AU"/>
        </w:rPr>
        <w:t>Conditions for Enrolment of Non Australian Citizens in NSW Government Schools.” </w:t>
      </w:r>
      <w:r w:rsidRPr="00A17593">
        <w:rPr>
          <w:rFonts w:ascii="Arial" w:eastAsia="Times New Roman" w:hAnsi="Arial" w:cs="Arial"/>
          <w:color w:val="65676F"/>
          <w:sz w:val="21"/>
          <w:szCs w:val="21"/>
          <w:lang w:eastAsia="en-AU"/>
        </w:rPr>
        <w:t>Temporary residents may be enrolled for the period specified on the visa.  International students studying in NSW may enrol their school aged dependents.  Students on a Visitor’s Visa may enrol for a maximum of three months, but must arrange their enrolment through the International Students Centre (Ph.:  02  9561 8209 or Fax: 02 9561 8613). DEC approved Student Exchange organisations  eg. Rotary Youth Exchange may also apply for enrolment as an exchange student.</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ENROLMENT IN DISTANCE EDUCATION</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Distance Education can be provided for students whose special circumstances prevent them from attending school on a regular basis.  Single subject programs are provided for students in subjects not offered at the school.  Strict special conditions apply to these enrolments. Refer </w:t>
      </w:r>
      <w:r w:rsidRPr="00A17593">
        <w:rPr>
          <w:rFonts w:ascii="Arial" w:eastAsia="Times New Roman" w:hAnsi="Arial" w:cs="Arial"/>
          <w:i/>
          <w:iCs/>
          <w:color w:val="65676F"/>
          <w:sz w:val="21"/>
          <w:szCs w:val="21"/>
          <w:lang w:eastAsia="en-AU"/>
        </w:rPr>
        <w:t>“Distance Education:  Categories and Procedural Guidelines for Enrolment.”</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SHORT TERM AND PART TIME ATTENDANCE</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For a variety of reasons a student may be enrolled for a short time at school.  The student will remain enrolled at the home school and the host school will send a record of attendance to the home school at the end of the stay or at the end of each term. When a student is attending a specialised program at another school, such as classes for behaviour or emotional disorder or a hospital school, he/she will remain enrolled at the home school.</w:t>
      </w:r>
    </w:p>
    <w:p w:rsidR="00A17593" w:rsidRPr="00A17593" w:rsidRDefault="00A17593" w:rsidP="00A17593">
      <w:pPr>
        <w:shd w:val="clear" w:color="auto" w:fill="FFFFFF"/>
        <w:spacing w:before="120" w:after="120" w:line="360" w:lineRule="atLeast"/>
        <w:outlineLvl w:val="2"/>
        <w:rPr>
          <w:rFonts w:ascii="Arial" w:eastAsia="Times New Roman" w:hAnsi="Arial" w:cs="Arial"/>
          <w:b/>
          <w:bCs/>
          <w:caps/>
          <w:color w:val="65676F"/>
          <w:sz w:val="29"/>
          <w:szCs w:val="29"/>
          <w:lang w:eastAsia="en-AU"/>
        </w:rPr>
      </w:pPr>
      <w:r w:rsidRPr="00A17593">
        <w:rPr>
          <w:rFonts w:ascii="Arial" w:eastAsia="Times New Roman" w:hAnsi="Arial" w:cs="Arial"/>
          <w:b/>
          <w:bCs/>
          <w:caps/>
          <w:color w:val="65676F"/>
          <w:sz w:val="29"/>
          <w:szCs w:val="29"/>
          <w:lang w:eastAsia="en-AU"/>
        </w:rPr>
        <w:t>REGISTER OF ENROLMENT</w:t>
      </w:r>
    </w:p>
    <w:p w:rsidR="00A17593" w:rsidRPr="00A17593" w:rsidRDefault="00A17593" w:rsidP="00A17593">
      <w:pPr>
        <w:shd w:val="clear" w:color="auto" w:fill="FFFFFF"/>
        <w:spacing w:after="120" w:line="384" w:lineRule="atLeast"/>
        <w:rPr>
          <w:rFonts w:ascii="Arial" w:eastAsia="Times New Roman" w:hAnsi="Arial" w:cs="Arial"/>
          <w:color w:val="65676F"/>
          <w:sz w:val="21"/>
          <w:szCs w:val="21"/>
          <w:lang w:eastAsia="en-AU"/>
        </w:rPr>
      </w:pPr>
      <w:r w:rsidRPr="00A17593">
        <w:rPr>
          <w:rFonts w:ascii="Arial" w:eastAsia="Times New Roman" w:hAnsi="Arial" w:cs="Arial"/>
          <w:color w:val="65676F"/>
          <w:sz w:val="21"/>
          <w:szCs w:val="21"/>
          <w:lang w:eastAsia="en-AU"/>
        </w:rPr>
        <w:t>The school’s </w:t>
      </w:r>
      <w:r w:rsidRPr="00A17593">
        <w:rPr>
          <w:rFonts w:ascii="Arial" w:eastAsia="Times New Roman" w:hAnsi="Arial" w:cs="Arial"/>
          <w:i/>
          <w:iCs/>
          <w:color w:val="65676F"/>
          <w:sz w:val="21"/>
          <w:szCs w:val="21"/>
          <w:lang w:eastAsia="en-AU"/>
        </w:rPr>
        <w:t>Register of Enrolment</w:t>
      </w:r>
      <w:r w:rsidRPr="00A17593">
        <w:rPr>
          <w:rFonts w:ascii="Arial" w:eastAsia="Times New Roman" w:hAnsi="Arial" w:cs="Arial"/>
          <w:color w:val="65676F"/>
          <w:sz w:val="21"/>
          <w:szCs w:val="21"/>
          <w:lang w:eastAsia="en-AU"/>
        </w:rPr>
        <w:t> will be centrally maintained.</w:t>
      </w:r>
    </w:p>
    <w:p w:rsidR="00743285" w:rsidRDefault="00743285"/>
    <w:sectPr w:rsidR="00743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0481"/>
    <w:multiLevelType w:val="multilevel"/>
    <w:tmpl w:val="0FC6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B198B"/>
    <w:multiLevelType w:val="multilevel"/>
    <w:tmpl w:val="5666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35"/>
    <w:multiLevelType w:val="multilevel"/>
    <w:tmpl w:val="3F9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4330C"/>
    <w:multiLevelType w:val="multilevel"/>
    <w:tmpl w:val="4810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94654"/>
    <w:multiLevelType w:val="multilevel"/>
    <w:tmpl w:val="B4E2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22B5C"/>
    <w:multiLevelType w:val="multilevel"/>
    <w:tmpl w:val="538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F4C40"/>
    <w:multiLevelType w:val="multilevel"/>
    <w:tmpl w:val="FE24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C57A1"/>
    <w:multiLevelType w:val="multilevel"/>
    <w:tmpl w:val="F1EE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A484C"/>
    <w:multiLevelType w:val="multilevel"/>
    <w:tmpl w:val="83F6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6"/>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NDSwNAERFgbGSjpKwanFxZn5eSAFRrUAk/6sqCwAAAA="/>
    <w:docVar w:name="dgnword-docGUID" w:val="{34426E19-D9AF-47F0-B1C8-E8A3ADE30868}"/>
    <w:docVar w:name="dgnword-eventsink" w:val="428085368"/>
  </w:docVars>
  <w:rsids>
    <w:rsidRoot w:val="00A17593"/>
    <w:rsid w:val="005A10C9"/>
    <w:rsid w:val="005D6084"/>
    <w:rsid w:val="00743285"/>
    <w:rsid w:val="00A17593"/>
    <w:rsid w:val="00A45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4179"/>
  <w15:chartTrackingRefBased/>
  <w15:docId w15:val="{1715A06C-3177-4749-B244-62AA743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759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1759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59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1759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175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17593"/>
    <w:rPr>
      <w:color w:val="0000FF"/>
      <w:u w:val="single"/>
    </w:rPr>
  </w:style>
  <w:style w:type="character" w:styleId="Strong">
    <w:name w:val="Strong"/>
    <w:basedOn w:val="DefaultParagraphFont"/>
    <w:uiPriority w:val="22"/>
    <w:qFormat/>
    <w:rsid w:val="00A17593"/>
    <w:rPr>
      <w:b/>
      <w:bCs/>
    </w:rPr>
  </w:style>
  <w:style w:type="character" w:styleId="Emphasis">
    <w:name w:val="Emphasis"/>
    <w:basedOn w:val="DefaultParagraphFont"/>
    <w:uiPriority w:val="20"/>
    <w:qFormat/>
    <w:rsid w:val="00A17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84097">
      <w:bodyDiv w:val="1"/>
      <w:marLeft w:val="0"/>
      <w:marRight w:val="0"/>
      <w:marTop w:val="0"/>
      <w:marBottom w:val="0"/>
      <w:divBdr>
        <w:top w:val="none" w:sz="0" w:space="0" w:color="auto"/>
        <w:left w:val="none" w:sz="0" w:space="0" w:color="auto"/>
        <w:bottom w:val="none" w:sz="0" w:space="0" w:color="auto"/>
        <w:right w:val="none" w:sz="0" w:space="0" w:color="auto"/>
      </w:divBdr>
      <w:divsChild>
        <w:div w:id="171423126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hs.nsw.edu.au/files/2019_out_of_area.pdf" TargetMode="External"/><Relationship Id="rId5" Type="http://schemas.openxmlformats.org/officeDocument/2006/relationships/hyperlink" Target="https://www.ehs.nsw.edu.au/files/enrolment_policy/Moving-into-Year-7-in-a-NSW-Government-Schoo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Adamthwaite, Kerry</dc:creator>
  <cp:keywords/>
  <dc:description/>
  <cp:lastModifiedBy>Adamthwaite, Kerry</cp:lastModifiedBy>
  <cp:revision>2</cp:revision>
  <dcterms:created xsi:type="dcterms:W3CDTF">2018-05-23T01:04:00Z</dcterms:created>
  <dcterms:modified xsi:type="dcterms:W3CDTF">2018-05-25T07:18:00Z</dcterms:modified>
</cp:coreProperties>
</file>